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EEFD" w14:textId="3CEAF10D" w:rsidR="008752F9" w:rsidRDefault="009C176E">
      <w:r>
        <w:t xml:space="preserve">  </w:t>
      </w:r>
    </w:p>
    <w:p w14:paraId="1C2E62DB" w14:textId="3A932AF3" w:rsidR="009C176E" w:rsidRDefault="009C176E"/>
    <w:p w14:paraId="36D798F1" w14:textId="5C0F38EE" w:rsidR="009C176E" w:rsidRPr="00BD1F35" w:rsidRDefault="009C176E" w:rsidP="009C176E">
      <w:pPr>
        <w:pStyle w:val="Balk2"/>
        <w:spacing w:after="258"/>
        <w:ind w:left="-5"/>
        <w:rPr>
          <w:color w:val="auto"/>
        </w:rPr>
      </w:pPr>
      <w:bookmarkStart w:id="0" w:name="_Hlk187566279"/>
      <w:r w:rsidRPr="00BD1F35">
        <w:rPr>
          <w:color w:val="auto"/>
        </w:rPr>
        <w:t xml:space="preserve">TEHLİKELİ KİMYASAL MADDE YAYILIMI  </w:t>
      </w:r>
    </w:p>
    <w:p w14:paraId="08131E16" w14:textId="1E467F02" w:rsidR="009C176E" w:rsidRPr="00BD1F35" w:rsidRDefault="009C176E" w:rsidP="009C176E">
      <w:pPr>
        <w:pStyle w:val="Balk3"/>
        <w:ind w:left="-5"/>
        <w:rPr>
          <w:color w:val="auto"/>
        </w:rPr>
      </w:pPr>
      <w:r w:rsidRPr="00BD1F35">
        <w:rPr>
          <w:color w:val="auto"/>
        </w:rPr>
        <w:t>1.</w:t>
      </w:r>
      <w:r w:rsidRPr="00BD1F35">
        <w:rPr>
          <w:rFonts w:ascii="Arial" w:eastAsia="Arial" w:hAnsi="Arial" w:cs="Arial"/>
          <w:color w:val="auto"/>
        </w:rPr>
        <w:t xml:space="preserve"> </w:t>
      </w:r>
      <w:r w:rsidRPr="00BD1F35">
        <w:rPr>
          <w:color w:val="auto"/>
        </w:rPr>
        <w:t xml:space="preserve">Tehlikeli Kimyasal Madde Yayılımı Öncesinde </w:t>
      </w:r>
    </w:p>
    <w:bookmarkEnd w:id="0"/>
    <w:p w14:paraId="6075DEDF" w14:textId="77777777" w:rsidR="009C176E" w:rsidRPr="00BD1F35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 w:rsidRPr="00BD1F35">
        <w:t xml:space="preserve">Vanaların gaz sızıntısına karşı rutin kontrolleri yapılmalı, </w:t>
      </w:r>
    </w:p>
    <w:p w14:paraId="24F409A6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Özel kimyasal depolama dolapları temin edilmeli, </w:t>
      </w:r>
    </w:p>
    <w:p w14:paraId="4122E9B7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Kimyasallar özellik ve tehlikelerine göre uygun şekilde depolanmalı, </w:t>
      </w:r>
    </w:p>
    <w:p w14:paraId="736CE519" w14:textId="77777777" w:rsidR="009C176E" w:rsidRDefault="009C176E" w:rsidP="009C176E">
      <w:pPr>
        <w:numPr>
          <w:ilvl w:val="0"/>
          <w:numId w:val="1"/>
        </w:numPr>
        <w:spacing w:after="126" w:line="362" w:lineRule="auto"/>
        <w:ind w:right="1" w:hanging="428"/>
        <w:jc w:val="both"/>
      </w:pPr>
      <w:r>
        <w:t xml:space="preserve">Kimyasalların depolandığı bölümlerde sızıntıya yol açacak durumlar engellenmeli, kimyasal maddeler güneş ışığına doğrudan maruz kalmamalı ve havalandırma uygun olmalı, </w:t>
      </w:r>
    </w:p>
    <w:p w14:paraId="339DE532" w14:textId="77777777" w:rsidR="009C176E" w:rsidRDefault="009C176E" w:rsidP="009C176E">
      <w:pPr>
        <w:numPr>
          <w:ilvl w:val="0"/>
          <w:numId w:val="1"/>
        </w:numPr>
        <w:spacing w:after="168" w:line="322" w:lineRule="auto"/>
        <w:ind w:right="1" w:hanging="428"/>
        <w:jc w:val="both"/>
      </w:pPr>
      <w:r>
        <w:t xml:space="preserve">İzni olmayan çalışanların kimyasalların depolandığı alana girmesi engellenmeli (kartlı giriş vb.), </w:t>
      </w:r>
    </w:p>
    <w:p w14:paraId="4B6E8568" w14:textId="77777777" w:rsidR="009C176E" w:rsidRDefault="009C176E" w:rsidP="009C176E">
      <w:pPr>
        <w:numPr>
          <w:ilvl w:val="0"/>
          <w:numId w:val="1"/>
        </w:numPr>
        <w:spacing w:after="124" w:line="362" w:lineRule="auto"/>
        <w:ind w:right="1" w:hanging="428"/>
        <w:jc w:val="both"/>
      </w:pPr>
      <w:r>
        <w:t xml:space="preserve">Tehlikeli kimyasallar ile çalışacak her kişi bu konuda eğitilmeli ve gerekli durumlarda başvurulacak adres ve birimler hakkında bilgilendirilmeli, </w:t>
      </w:r>
    </w:p>
    <w:p w14:paraId="6A00C33E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Gaz sirkülasyonunun sağlandığı borularda kaçak kontrolü yapılmalı, </w:t>
      </w:r>
    </w:p>
    <w:p w14:paraId="3A4F00E8" w14:textId="77777777" w:rsidR="009C176E" w:rsidRDefault="009C176E" w:rsidP="009C176E">
      <w:pPr>
        <w:numPr>
          <w:ilvl w:val="0"/>
          <w:numId w:val="1"/>
        </w:numPr>
        <w:spacing w:after="123" w:line="362" w:lineRule="auto"/>
        <w:ind w:right="1" w:hanging="428"/>
        <w:jc w:val="both"/>
      </w:pPr>
      <w:r>
        <w:t xml:space="preserve">Kimyasallar ile çalışanlara, uygun kişisel koruyucu donanım temin edilmeli ve doğru şekilde kullanmaları sağlanmalı, </w:t>
      </w:r>
    </w:p>
    <w:p w14:paraId="03E2A6E4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Birimler içerisinde söndürme ve kurtarmaya yönelik acil durum ekipleri oluşturulmalı, </w:t>
      </w:r>
    </w:p>
    <w:p w14:paraId="29292DCE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İlgili acil durum ekiplerine eğitimler verilmeli/aldırılmalı, </w:t>
      </w:r>
    </w:p>
    <w:p w14:paraId="2BCEFB6C" w14:textId="77777777" w:rsidR="009C176E" w:rsidRDefault="009C176E" w:rsidP="009C176E">
      <w:pPr>
        <w:numPr>
          <w:ilvl w:val="0"/>
          <w:numId w:val="1"/>
        </w:numPr>
        <w:spacing w:after="121" w:line="361" w:lineRule="auto"/>
        <w:ind w:right="1" w:hanging="428"/>
        <w:jc w:val="both"/>
      </w:pPr>
      <w:r>
        <w:t xml:space="preserve">Olası kimyasal sızıntısı ve yayılımında işyerini çabuk tahliye edebilmek amacıyla tahliye planları oluşturulmalı, </w:t>
      </w:r>
    </w:p>
    <w:p w14:paraId="3E9031EE" w14:textId="77777777" w:rsidR="009C176E" w:rsidRDefault="009C176E" w:rsidP="009C176E">
      <w:pPr>
        <w:numPr>
          <w:ilvl w:val="0"/>
          <w:numId w:val="1"/>
        </w:numPr>
        <w:spacing w:after="168" w:line="249" w:lineRule="auto"/>
        <w:ind w:right="1" w:hanging="428"/>
        <w:jc w:val="both"/>
      </w:pPr>
      <w:r>
        <w:t xml:space="preserve">Tahliye planları görünür yerlerde asılı olmalı, </w:t>
      </w:r>
    </w:p>
    <w:p w14:paraId="3CD84D2E" w14:textId="77777777" w:rsidR="009C176E" w:rsidRDefault="009C176E" w:rsidP="009C176E">
      <w:pPr>
        <w:numPr>
          <w:ilvl w:val="0"/>
          <w:numId w:val="1"/>
        </w:numPr>
        <w:spacing w:after="280" w:line="249" w:lineRule="auto"/>
        <w:ind w:right="1" w:hanging="428"/>
        <w:jc w:val="both"/>
      </w:pPr>
      <w:r>
        <w:t>Gaz yayılımı durumlarında uygun yerlere uygun sayıda gaz detektörü yerleştirilmelidir.</w:t>
      </w:r>
      <w:r>
        <w:rPr>
          <w:b/>
        </w:rPr>
        <w:t xml:space="preserve"> </w:t>
      </w:r>
    </w:p>
    <w:p w14:paraId="5115AFC2" w14:textId="088882B7" w:rsidR="009C176E" w:rsidRPr="009E7D5B" w:rsidRDefault="009C176E" w:rsidP="009C176E">
      <w:pPr>
        <w:pStyle w:val="Balk3"/>
        <w:spacing w:after="297"/>
        <w:ind w:left="0" w:firstLine="0"/>
        <w:rPr>
          <w:b/>
          <w:bCs/>
          <w:color w:val="auto"/>
          <w:sz w:val="24"/>
          <w:szCs w:val="24"/>
        </w:rPr>
      </w:pPr>
      <w:r w:rsidRPr="009E7D5B">
        <w:rPr>
          <w:b/>
          <w:bCs/>
          <w:color w:val="auto"/>
          <w:sz w:val="24"/>
          <w:szCs w:val="24"/>
        </w:rPr>
        <w:t>2.</w:t>
      </w:r>
      <w:r w:rsidRPr="009E7D5B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009E7D5B">
        <w:rPr>
          <w:b/>
          <w:bCs/>
          <w:color w:val="auto"/>
          <w:sz w:val="24"/>
          <w:szCs w:val="24"/>
        </w:rPr>
        <w:t xml:space="preserve">Tehlikeli Kimyasal Madde Yayılımı Esnasında ve Sonrasında </w:t>
      </w:r>
    </w:p>
    <w:p w14:paraId="48047B58" w14:textId="77777777" w:rsidR="009C176E" w:rsidRPr="009E7D5B" w:rsidRDefault="009C176E" w:rsidP="009C176E">
      <w:pPr>
        <w:pStyle w:val="Balk4"/>
        <w:spacing w:after="270"/>
        <w:ind w:left="-5"/>
        <w:rPr>
          <w:b/>
          <w:bCs/>
          <w:i w:val="0"/>
          <w:iCs w:val="0"/>
          <w:color w:val="auto"/>
        </w:rPr>
      </w:pPr>
      <w:r w:rsidRPr="00BD1F35">
        <w:rPr>
          <w:rFonts w:ascii="Arial" w:eastAsia="Arial" w:hAnsi="Arial" w:cs="Arial"/>
          <w:color w:val="auto"/>
        </w:rPr>
        <w:t xml:space="preserve"> </w:t>
      </w:r>
      <w:r w:rsidRPr="009E7D5B">
        <w:rPr>
          <w:b/>
          <w:bCs/>
          <w:i w:val="0"/>
          <w:iCs w:val="0"/>
          <w:color w:val="auto"/>
        </w:rPr>
        <w:t xml:space="preserve">Etkilenen personel ise </w:t>
      </w:r>
    </w:p>
    <w:p w14:paraId="6EFCBEF3" w14:textId="77777777" w:rsidR="009C176E" w:rsidRDefault="009C176E" w:rsidP="009C176E">
      <w:pPr>
        <w:numPr>
          <w:ilvl w:val="0"/>
          <w:numId w:val="2"/>
        </w:numPr>
        <w:spacing w:after="123" w:line="362" w:lineRule="auto"/>
        <w:ind w:right="1" w:hanging="428"/>
        <w:jc w:val="both"/>
      </w:pPr>
      <w:proofErr w:type="spellStart"/>
      <w:r>
        <w:t>Kontamine</w:t>
      </w:r>
      <w:proofErr w:type="spellEnd"/>
      <w:r>
        <w:t xml:space="preserve"> giysiler çıkarılmalı ve uygun bir şekilde imhası için görevlilere teslim edilmek üzere ambalaj/torbalarda muhafaza edilmeli, </w:t>
      </w:r>
    </w:p>
    <w:p w14:paraId="71366443" w14:textId="77777777" w:rsidR="009C176E" w:rsidRDefault="009C176E" w:rsidP="009C176E">
      <w:pPr>
        <w:numPr>
          <w:ilvl w:val="0"/>
          <w:numId w:val="2"/>
        </w:numPr>
        <w:spacing w:after="137" w:line="366" w:lineRule="auto"/>
        <w:ind w:right="1" w:hanging="428"/>
        <w:jc w:val="both"/>
      </w:pPr>
      <w:proofErr w:type="spellStart"/>
      <w:r>
        <w:lastRenderedPageBreak/>
        <w:t>Dekontaminasyon</w:t>
      </w:r>
      <w:proofErr w:type="spellEnd"/>
      <w:r>
        <w:t xml:space="preserve"> alanlarında ya da cilt temasının gerçekleştiği durumlarda temas bölgeleri vücut sıcaklığını (36</w:t>
      </w:r>
      <w:r>
        <w:rPr>
          <w:vertAlign w:val="superscript"/>
        </w:rPr>
        <w:t>o</w:t>
      </w:r>
      <w:r>
        <w:t xml:space="preserve">) geçmeyen su ile bolca yıkanmalı,  </w:t>
      </w:r>
    </w:p>
    <w:p w14:paraId="4EB1656F" w14:textId="77777777" w:rsidR="009C176E" w:rsidRDefault="009C176E" w:rsidP="009C176E">
      <w:pPr>
        <w:numPr>
          <w:ilvl w:val="0"/>
          <w:numId w:val="2"/>
        </w:numPr>
        <w:spacing w:after="122" w:line="362" w:lineRule="auto"/>
        <w:ind w:right="1" w:hanging="428"/>
        <w:jc w:val="both"/>
      </w:pPr>
      <w:r>
        <w:t xml:space="preserve">Göze sıçrama olduğu durumlarda göz kapağı açık olacak şekilde bol su ile veya göz solüsyonu ile en az 15 dakika yıkanmalı, </w:t>
      </w:r>
    </w:p>
    <w:p w14:paraId="068D4059" w14:textId="77777777" w:rsidR="009C176E" w:rsidRDefault="009C176E" w:rsidP="009C176E">
      <w:pPr>
        <w:numPr>
          <w:ilvl w:val="0"/>
          <w:numId w:val="2"/>
        </w:numPr>
        <w:spacing w:after="168" w:line="249" w:lineRule="auto"/>
        <w:ind w:right="1" w:hanging="428"/>
        <w:jc w:val="both"/>
      </w:pPr>
      <w:r>
        <w:t xml:space="preserve">Kimyasalın buharları solunduysa kişi temiz havaya çıkarılmalı, </w:t>
      </w:r>
    </w:p>
    <w:p w14:paraId="73EA54D2" w14:textId="77777777" w:rsidR="009C176E" w:rsidRDefault="009C176E" w:rsidP="009C176E">
      <w:pPr>
        <w:numPr>
          <w:ilvl w:val="0"/>
          <w:numId w:val="2"/>
        </w:numPr>
        <w:spacing w:after="168" w:line="249" w:lineRule="auto"/>
        <w:ind w:right="1" w:hanging="428"/>
        <w:jc w:val="both"/>
      </w:pPr>
      <w:r>
        <w:t xml:space="preserve">Gerekli durumlarda “Ulusal Zehir Danışma Hattı” 114 (UZEM) aranmalı, </w:t>
      </w:r>
    </w:p>
    <w:p w14:paraId="7FC4E8DB" w14:textId="77777777" w:rsidR="009C176E" w:rsidRDefault="009C176E" w:rsidP="009C176E">
      <w:pPr>
        <w:numPr>
          <w:ilvl w:val="0"/>
          <w:numId w:val="2"/>
        </w:numPr>
        <w:spacing w:after="34" w:line="249" w:lineRule="auto"/>
        <w:ind w:right="1" w:hanging="428"/>
        <w:jc w:val="both"/>
      </w:pPr>
      <w:r>
        <w:t xml:space="preserve">Cilt, göz ve benzeri dokularda ciddi </w:t>
      </w:r>
      <w:proofErr w:type="spellStart"/>
      <w:r>
        <w:t>irritasyon</w:t>
      </w:r>
      <w:proofErr w:type="spellEnd"/>
      <w:r>
        <w:t xml:space="preserve"> (tahriş) ve uzun süreli soluma durumlarında </w:t>
      </w:r>
    </w:p>
    <w:p w14:paraId="40262167" w14:textId="77777777" w:rsidR="009C176E" w:rsidRDefault="009C176E" w:rsidP="009C176E">
      <w:pPr>
        <w:ind w:left="-7" w:right="1"/>
      </w:pPr>
      <w:r>
        <w:t xml:space="preserve">112 ekiplerine ya da en yakın sağlık kuruluşuna başvurulmalı,  </w:t>
      </w:r>
    </w:p>
    <w:p w14:paraId="11DC5266" w14:textId="77777777" w:rsidR="009C176E" w:rsidRDefault="009C176E" w:rsidP="009C176E">
      <w:pPr>
        <w:numPr>
          <w:ilvl w:val="0"/>
          <w:numId w:val="3"/>
        </w:numPr>
        <w:spacing w:after="168" w:line="249" w:lineRule="auto"/>
        <w:ind w:right="1" w:hanging="428"/>
        <w:jc w:val="both"/>
      </w:pPr>
      <w:r>
        <w:t xml:space="preserve">Diğer çalışanlar durum ile ilgili uyarılmalı ve bilgilendirilmeli, </w:t>
      </w:r>
    </w:p>
    <w:p w14:paraId="4C51CEB2" w14:textId="77777777" w:rsidR="009C176E" w:rsidRDefault="009C176E" w:rsidP="009C176E">
      <w:pPr>
        <w:numPr>
          <w:ilvl w:val="0"/>
          <w:numId w:val="3"/>
        </w:numPr>
        <w:spacing w:after="168" w:line="322" w:lineRule="auto"/>
        <w:ind w:right="1" w:hanging="428"/>
        <w:jc w:val="both"/>
      </w:pPr>
      <w:r>
        <w:t xml:space="preserve">Acil durumlarda söz konusu kimyasalın Güvenlik Bilgi </w:t>
      </w:r>
      <w:proofErr w:type="spellStart"/>
      <w:r>
        <w:t>Formu’na</w:t>
      </w:r>
      <w:proofErr w:type="spellEnd"/>
      <w:r>
        <w:t xml:space="preserve"> (GBF) bakılmalı ve formda verilen bilgilere riayet edilmeli, </w:t>
      </w:r>
    </w:p>
    <w:p w14:paraId="797372FA" w14:textId="77777777" w:rsidR="009C176E" w:rsidRDefault="009C176E" w:rsidP="009C176E">
      <w:pPr>
        <w:numPr>
          <w:ilvl w:val="0"/>
          <w:numId w:val="3"/>
        </w:numPr>
        <w:spacing w:after="105" w:line="336" w:lineRule="auto"/>
        <w:ind w:right="1" w:hanging="428"/>
        <w:jc w:val="both"/>
      </w:pPr>
      <w:r>
        <w:t xml:space="preserve">Tehlikeli kimyasalın ortamdan uzaklaştırılması ve bertaraf edilmesi </w:t>
      </w:r>
      <w:proofErr w:type="spellStart"/>
      <w:r>
        <w:t>GBF’de</w:t>
      </w:r>
      <w:proofErr w:type="spellEnd"/>
      <w:r>
        <w:t xml:space="preserve"> verilen bilgilere göre yapılmalı, işlem sırasında </w:t>
      </w:r>
      <w:proofErr w:type="spellStart"/>
      <w:r>
        <w:t>GBF’de</w:t>
      </w:r>
      <w:proofErr w:type="spellEnd"/>
      <w:r>
        <w:t xml:space="preserve"> tavsiye edilen kişisel koruyucu ekipmanlar (KKD) kullanılmalı, </w:t>
      </w:r>
    </w:p>
    <w:p w14:paraId="5D0EEBBC" w14:textId="77777777" w:rsidR="009C176E" w:rsidRDefault="009C176E" w:rsidP="009C176E">
      <w:pPr>
        <w:numPr>
          <w:ilvl w:val="0"/>
          <w:numId w:val="3"/>
        </w:numPr>
        <w:spacing w:after="168" w:line="249" w:lineRule="auto"/>
        <w:ind w:right="1" w:hanging="428"/>
        <w:jc w:val="both"/>
      </w:pPr>
      <w:r>
        <w:t xml:space="preserve">Olay, yetkililere bildirilmelidir. </w:t>
      </w:r>
    </w:p>
    <w:p w14:paraId="04345CD9" w14:textId="77777777" w:rsidR="009C176E" w:rsidRDefault="009C176E" w:rsidP="009C176E">
      <w:r>
        <w:rPr>
          <w:noProof/>
        </w:rPr>
        <w:drawing>
          <wp:inline distT="0" distB="0" distL="0" distR="0" wp14:anchorId="28B48111" wp14:editId="561AE9E5">
            <wp:extent cx="5760720" cy="4257675"/>
            <wp:effectExtent l="0" t="0" r="0" b="9525"/>
            <wp:docPr id="7005" name="Picture 7005" descr="metin, ekran görüntüsü, yazı tipi, tasarı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" name="Picture 7005" descr="metin, ekran görüntüsü, yazı tipi, tasarı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9DC9" w14:textId="77777777" w:rsidR="009C176E" w:rsidRPr="000A4D2F" w:rsidRDefault="009C176E" w:rsidP="009C176E">
      <w:pPr>
        <w:pStyle w:val="Balk4"/>
        <w:spacing w:after="269"/>
        <w:ind w:left="-5"/>
        <w:rPr>
          <w:b/>
          <w:bCs/>
          <w:i w:val="0"/>
          <w:iCs w:val="0"/>
          <w:color w:val="auto"/>
        </w:rPr>
      </w:pPr>
      <w:r w:rsidRPr="000A4D2F">
        <w:rPr>
          <w:b/>
          <w:bCs/>
          <w:i w:val="0"/>
          <w:iCs w:val="0"/>
          <w:color w:val="auto"/>
        </w:rPr>
        <w:lastRenderedPageBreak/>
        <w:t xml:space="preserve">Etkilenen ortam ve çevre ise </w:t>
      </w:r>
    </w:p>
    <w:p w14:paraId="48E4279F" w14:textId="77777777" w:rsidR="009C176E" w:rsidRDefault="009C176E" w:rsidP="009C176E">
      <w:pPr>
        <w:numPr>
          <w:ilvl w:val="0"/>
          <w:numId w:val="4"/>
        </w:numPr>
        <w:spacing w:after="142" w:line="346" w:lineRule="auto"/>
        <w:ind w:right="1" w:hanging="428"/>
        <w:jc w:val="both"/>
      </w:pPr>
      <w:r>
        <w:t>Bölge sıcak-ılık-soğuk şeklinde etki boyutuna göre derecelendirilmeli ve olay yerine giriş çıkışlar kontrol altına alınmalı,</w:t>
      </w:r>
    </w:p>
    <w:p w14:paraId="73D0E569" w14:textId="77777777" w:rsidR="009C176E" w:rsidRDefault="009C176E" w:rsidP="009C176E">
      <w:pPr>
        <w:numPr>
          <w:ilvl w:val="0"/>
          <w:numId w:val="4"/>
        </w:numPr>
        <w:spacing w:after="142" w:line="346" w:lineRule="auto"/>
        <w:ind w:right="1" w:hanging="428"/>
        <w:jc w:val="both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  <w:r>
        <w:t xml:space="preserve">Kaza bölgesi (dökülme, kırılma, sızma vb.) kontrol altına alınmalı, kimyasalın başka alanlara sirayet etmesi engellenmeli,  </w:t>
      </w:r>
    </w:p>
    <w:p w14:paraId="2FFDE781" w14:textId="77777777" w:rsidR="009C176E" w:rsidRDefault="009C176E" w:rsidP="009C176E">
      <w:pPr>
        <w:numPr>
          <w:ilvl w:val="0"/>
          <w:numId w:val="4"/>
        </w:numPr>
        <w:spacing w:after="168" w:line="336" w:lineRule="auto"/>
        <w:ind w:right="1" w:hanging="428"/>
        <w:jc w:val="both"/>
      </w:pPr>
      <w:r>
        <w:t xml:space="preserve">Dökülen kimyasalın çevresi uygun absorban madde ile çevrelenmeli ve yayılımı önlenmeli (absorban madde tercihinde </w:t>
      </w:r>
      <w:proofErr w:type="spellStart"/>
      <w:r>
        <w:t>GBF’nda</w:t>
      </w:r>
      <w:proofErr w:type="spellEnd"/>
      <w:r>
        <w:t xml:space="preserve"> verilen bilgilere riayet edilmeli), bu işlem esnasında gerekli </w:t>
      </w:r>
      <w:proofErr w:type="spellStart"/>
      <w:r>
        <w:t>KKD’ler</w:t>
      </w:r>
      <w:proofErr w:type="spellEnd"/>
      <w:r>
        <w:t xml:space="preserve"> kullanılmalı, </w:t>
      </w:r>
    </w:p>
    <w:p w14:paraId="3AA70B2B" w14:textId="77777777" w:rsidR="009C176E" w:rsidRDefault="009C176E" w:rsidP="009C176E">
      <w:pPr>
        <w:numPr>
          <w:ilvl w:val="0"/>
          <w:numId w:val="4"/>
        </w:numPr>
        <w:spacing w:after="125" w:line="362" w:lineRule="auto"/>
        <w:ind w:right="1" w:hanging="428"/>
        <w:jc w:val="both"/>
      </w:pPr>
      <w:r>
        <w:t xml:space="preserve">Absorban madde, kimyasalı iyice çektiğinde faraş veya kürek ve süpürge yardımıyla oluşan katı atık, kimyasal atık kabına konulmalı ve kalıntılar sünger vb. ekipmanlarla temizlenmeli, </w:t>
      </w:r>
    </w:p>
    <w:p w14:paraId="35643927" w14:textId="77777777" w:rsidR="009C176E" w:rsidRDefault="009C176E" w:rsidP="009C176E">
      <w:pPr>
        <w:numPr>
          <w:ilvl w:val="0"/>
          <w:numId w:val="4"/>
        </w:numPr>
        <w:spacing w:after="123" w:line="362" w:lineRule="auto"/>
        <w:ind w:right="1" w:hanging="428"/>
        <w:jc w:val="both"/>
      </w:pPr>
      <w:r>
        <w:t xml:space="preserve">Dökülen kimyasalın çok fazla olması ve tehlikeli olması durumunda ilgili birim ve kuruluşlardan (AFAD, İtfaiye) yardım talep edilmeli  </w:t>
      </w:r>
    </w:p>
    <w:p w14:paraId="60F16069" w14:textId="77777777" w:rsidR="009C176E" w:rsidRDefault="009C176E" w:rsidP="009C176E">
      <w:pPr>
        <w:numPr>
          <w:ilvl w:val="0"/>
          <w:numId w:val="4"/>
        </w:numPr>
        <w:spacing w:after="124" w:line="322" w:lineRule="auto"/>
        <w:ind w:right="1" w:hanging="428"/>
        <w:jc w:val="both"/>
      </w:pPr>
      <w:r>
        <w:t xml:space="preserve">Meydana gelen kimyasal atık, Tehlikeli Atıkların Kontrolü Yönetmeliği’nde belirtilen hususlara uyularak bertaraf edilmeli,  </w:t>
      </w:r>
    </w:p>
    <w:p w14:paraId="270C94C8" w14:textId="780B6A10" w:rsidR="009C176E" w:rsidRDefault="009C176E" w:rsidP="009C176E">
      <w:pPr>
        <w:numPr>
          <w:ilvl w:val="0"/>
          <w:numId w:val="4"/>
        </w:numPr>
        <w:spacing w:after="168" w:line="249" w:lineRule="auto"/>
        <w:ind w:right="1" w:hanging="428"/>
        <w:jc w:val="both"/>
      </w:pPr>
      <w:r>
        <w:t xml:space="preserve">Olay, birim yetkililerine bildirilmelidir. </w:t>
      </w:r>
    </w:p>
    <w:p w14:paraId="68F0E1DE" w14:textId="00A2A9FD" w:rsidR="009C176E" w:rsidRDefault="009C176E" w:rsidP="009C176E">
      <w:pPr>
        <w:spacing w:after="168" w:line="249" w:lineRule="auto"/>
        <w:ind w:left="428" w:right="1"/>
        <w:jc w:val="both"/>
      </w:pPr>
    </w:p>
    <w:p w14:paraId="7B5FF99E" w14:textId="2BF810C5" w:rsidR="009C176E" w:rsidRDefault="009C176E" w:rsidP="009C176E">
      <w:pPr>
        <w:spacing w:after="168" w:line="249" w:lineRule="auto"/>
        <w:ind w:left="428" w:right="1"/>
        <w:jc w:val="both"/>
      </w:pPr>
    </w:p>
    <w:p w14:paraId="66A82A02" w14:textId="19B5563E" w:rsidR="009C176E" w:rsidRDefault="009C176E" w:rsidP="009C176E">
      <w:pPr>
        <w:spacing w:after="168" w:line="249" w:lineRule="auto"/>
        <w:ind w:left="428" w:right="1"/>
        <w:jc w:val="both"/>
      </w:pPr>
      <w:r>
        <w:rPr>
          <w:noProof/>
        </w:rPr>
        <w:lastRenderedPageBreak/>
        <w:drawing>
          <wp:inline distT="0" distB="0" distL="0" distR="0" wp14:anchorId="13F04BED" wp14:editId="4D1B2CD5">
            <wp:extent cx="5761355" cy="7934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3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37961" w14:textId="77777777" w:rsidR="009C176E" w:rsidRDefault="009C176E"/>
    <w:sectPr w:rsidR="009C17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10A4" w14:textId="77777777" w:rsidR="00223A25" w:rsidRDefault="00223A25" w:rsidP="009C176E">
      <w:pPr>
        <w:spacing w:after="0" w:line="240" w:lineRule="auto"/>
      </w:pPr>
      <w:r>
        <w:separator/>
      </w:r>
    </w:p>
  </w:endnote>
  <w:endnote w:type="continuationSeparator" w:id="0">
    <w:p w14:paraId="3A721954" w14:textId="77777777" w:rsidR="00223A25" w:rsidRDefault="00223A25" w:rsidP="009C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15FE" w14:textId="77777777" w:rsidR="00223A25" w:rsidRDefault="00223A25" w:rsidP="009C176E">
      <w:pPr>
        <w:spacing w:after="0" w:line="240" w:lineRule="auto"/>
      </w:pPr>
      <w:r>
        <w:separator/>
      </w:r>
    </w:p>
  </w:footnote>
  <w:footnote w:type="continuationSeparator" w:id="0">
    <w:p w14:paraId="429045B7" w14:textId="77777777" w:rsidR="00223A25" w:rsidRDefault="00223A25" w:rsidP="009C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89DB" w14:textId="22D221FD" w:rsidR="009C176E" w:rsidRDefault="009C176E">
    <w:pPr>
      <w:pStyle w:val="stBilgi"/>
    </w:pPr>
    <w:r>
      <w:rPr>
        <w:noProof/>
      </w:rPr>
      <w:drawing>
        <wp:inline distT="0" distB="0" distL="0" distR="0" wp14:anchorId="2C0CFB3A" wp14:editId="3FD328D4">
          <wp:extent cx="5761355" cy="5549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E82"/>
    <w:multiLevelType w:val="hybridMultilevel"/>
    <w:tmpl w:val="3AA63B26"/>
    <w:lvl w:ilvl="0" w:tplc="75465C30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8E68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8AA2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4EA6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98BB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AA45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A053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2961E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9E5A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2641C"/>
    <w:multiLevelType w:val="hybridMultilevel"/>
    <w:tmpl w:val="91E814B0"/>
    <w:lvl w:ilvl="0" w:tplc="0E401FCA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F8FC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2C4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2A20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964F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F231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D01E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40433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C4CD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6B2671"/>
    <w:multiLevelType w:val="hybridMultilevel"/>
    <w:tmpl w:val="083C5214"/>
    <w:lvl w:ilvl="0" w:tplc="4C60500E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2C55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FA26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14A6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268F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F246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A41F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9A80A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786AF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5D7F8A"/>
    <w:multiLevelType w:val="hybridMultilevel"/>
    <w:tmpl w:val="2DB28174"/>
    <w:lvl w:ilvl="0" w:tplc="E65CFBFC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A80E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4674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BE96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C0BA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02FB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E2B4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BEF4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F6C2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E"/>
    <w:rsid w:val="00223A25"/>
    <w:rsid w:val="008752F9"/>
    <w:rsid w:val="009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FDF81"/>
  <w15:chartTrackingRefBased/>
  <w15:docId w15:val="{B98CCD32-C85A-4761-B3BB-3D6C962C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176E"/>
    <w:pPr>
      <w:keepNext/>
      <w:keepLines/>
      <w:spacing w:before="160" w:after="80" w:line="249" w:lineRule="auto"/>
      <w:ind w:left="42" w:hanging="8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C176E"/>
    <w:pPr>
      <w:keepNext/>
      <w:keepLines/>
      <w:spacing w:before="160" w:after="80" w:line="249" w:lineRule="auto"/>
      <w:ind w:left="42" w:hanging="8"/>
      <w:jc w:val="both"/>
      <w:outlineLvl w:val="2"/>
    </w:pPr>
    <w:rPr>
      <w:rFonts w:ascii="Times New Roman" w:eastAsiaTheme="majorEastAsia" w:hAnsi="Times New Roman" w:cstheme="majorBidi"/>
      <w:color w:val="2F5496" w:themeColor="accent1" w:themeShade="BF"/>
      <w:kern w:val="2"/>
      <w:sz w:val="28"/>
      <w:szCs w:val="28"/>
      <w:lang w:eastAsia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176E"/>
    <w:pPr>
      <w:keepNext/>
      <w:keepLines/>
      <w:spacing w:before="80" w:after="40" w:line="249" w:lineRule="auto"/>
      <w:ind w:left="42" w:hanging="8"/>
      <w:jc w:val="both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kern w:val="2"/>
      <w:sz w:val="24"/>
      <w:szCs w:val="24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76E"/>
  </w:style>
  <w:style w:type="paragraph" w:styleId="AltBilgi">
    <w:name w:val="footer"/>
    <w:basedOn w:val="Normal"/>
    <w:link w:val="AltBilgiChar"/>
    <w:uiPriority w:val="99"/>
    <w:unhideWhenUsed/>
    <w:rsid w:val="009C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76E"/>
  </w:style>
  <w:style w:type="character" w:customStyle="1" w:styleId="Balk2Char">
    <w:name w:val="Başlık 2 Char"/>
    <w:basedOn w:val="VarsaylanParagrafYazTipi"/>
    <w:link w:val="Balk2"/>
    <w:uiPriority w:val="9"/>
    <w:semiHidden/>
    <w:rsid w:val="009C176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tr-TR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rsid w:val="009C176E"/>
    <w:rPr>
      <w:rFonts w:ascii="Times New Roman" w:eastAsiaTheme="majorEastAsia" w:hAnsi="Times New Roman" w:cstheme="majorBidi"/>
      <w:color w:val="2F5496" w:themeColor="accent1" w:themeShade="BF"/>
      <w:kern w:val="2"/>
      <w:sz w:val="28"/>
      <w:szCs w:val="28"/>
      <w:lang w:eastAsia="tr-TR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176E"/>
    <w:rPr>
      <w:rFonts w:ascii="Times New Roman" w:eastAsiaTheme="majorEastAsia" w:hAnsi="Times New Roman" w:cstheme="majorBidi"/>
      <w:i/>
      <w:iCs/>
      <w:color w:val="2F5496" w:themeColor="accent1" w:themeShade="BF"/>
      <w:kern w:val="2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YÜCEL</dc:creator>
  <cp:keywords/>
  <dc:description/>
  <cp:lastModifiedBy>Rıfat YÜCEL</cp:lastModifiedBy>
  <cp:revision>1</cp:revision>
  <dcterms:created xsi:type="dcterms:W3CDTF">2025-02-19T12:43:00Z</dcterms:created>
  <dcterms:modified xsi:type="dcterms:W3CDTF">2025-02-19T12:47:00Z</dcterms:modified>
</cp:coreProperties>
</file>